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B2041" w14:textId="77777777" w:rsidR="00696614" w:rsidRDefault="00696614" w:rsidP="00DB7B90">
      <w:pPr>
        <w:spacing w:after="200"/>
        <w:ind w:left="0"/>
        <w:jc w:val="center"/>
        <w:rPr>
          <w:rFonts w:ascii="Arial" w:hAnsi="Arial"/>
          <w:b/>
          <w:sz w:val="22"/>
        </w:rPr>
      </w:pPr>
      <w:r>
        <w:rPr>
          <w:rFonts w:ascii="Arial" w:hAnsi="Arial"/>
          <w:b/>
          <w:sz w:val="22"/>
        </w:rPr>
        <w:t>FlexElect Medical Reimbursement Account (MRA) and Dependent Care Reimbursement Account (DCRA) – Changes Related to the National Emergency</w:t>
      </w:r>
    </w:p>
    <w:p w14:paraId="0BD1197C" w14:textId="77777777" w:rsidR="00696614" w:rsidRDefault="00696614" w:rsidP="00DB7B90">
      <w:pPr>
        <w:spacing w:after="200"/>
        <w:ind w:left="0"/>
        <w:rPr>
          <w:rFonts w:ascii="Arial" w:hAnsi="Arial"/>
          <w:sz w:val="22"/>
        </w:rPr>
      </w:pPr>
      <w:r>
        <w:rPr>
          <w:rFonts w:ascii="Arial" w:hAnsi="Arial"/>
          <w:sz w:val="22"/>
        </w:rPr>
        <w:t xml:space="preserve">Dear Employee, </w:t>
      </w:r>
    </w:p>
    <w:p w14:paraId="6FCB628A" w14:textId="77777777" w:rsidR="00696614" w:rsidRDefault="00696614" w:rsidP="00DB7B90">
      <w:pPr>
        <w:spacing w:after="200"/>
        <w:ind w:left="0"/>
        <w:rPr>
          <w:rFonts w:ascii="Arial" w:hAnsi="Arial"/>
          <w:sz w:val="22"/>
        </w:rPr>
      </w:pPr>
      <w:r>
        <w:rPr>
          <w:rFonts w:ascii="Arial" w:hAnsi="Arial"/>
          <w:sz w:val="22"/>
        </w:rPr>
        <w:t xml:space="preserve">The California Department of Human Resources (CalHR) has adopted temporary plan changes to the FlexElect Medical and Dependent Care Reimbursement Accounts. These changes are being implemented to provide employees flexibility in light of the current National Emergency and are as follows: </w:t>
      </w:r>
    </w:p>
    <w:p w14:paraId="689046AF" w14:textId="77777777" w:rsidR="00696614" w:rsidRPr="00686A7B" w:rsidRDefault="00696614" w:rsidP="00DB7B90">
      <w:pPr>
        <w:spacing w:after="200"/>
        <w:ind w:left="0"/>
        <w:rPr>
          <w:rFonts w:ascii="Arial" w:hAnsi="Arial"/>
          <w:b/>
          <w:sz w:val="22"/>
        </w:rPr>
      </w:pPr>
      <w:r w:rsidRPr="00686A7B">
        <w:rPr>
          <w:rFonts w:ascii="Arial" w:hAnsi="Arial"/>
          <w:b/>
          <w:sz w:val="22"/>
        </w:rPr>
        <w:t xml:space="preserve">Claims Submission Deadline for 2019 Plan Year </w:t>
      </w:r>
    </w:p>
    <w:p w14:paraId="01F49FD7" w14:textId="77777777" w:rsidR="00696614" w:rsidRDefault="00696614" w:rsidP="00DB7B90">
      <w:pPr>
        <w:spacing w:after="200"/>
        <w:ind w:left="0"/>
        <w:rPr>
          <w:rFonts w:ascii="Arial" w:hAnsi="Arial"/>
          <w:sz w:val="22"/>
        </w:rPr>
      </w:pPr>
      <w:r w:rsidRPr="00686A7B">
        <w:rPr>
          <w:rFonts w:ascii="Arial" w:hAnsi="Arial"/>
          <w:sz w:val="22"/>
        </w:rPr>
        <w:t xml:space="preserve">The </w:t>
      </w:r>
      <w:r>
        <w:rPr>
          <w:rFonts w:ascii="Arial" w:hAnsi="Arial"/>
          <w:sz w:val="22"/>
        </w:rPr>
        <w:t xml:space="preserve">2019 plan year </w:t>
      </w:r>
      <w:r w:rsidRPr="00686A7B">
        <w:rPr>
          <w:rFonts w:ascii="Arial" w:hAnsi="Arial"/>
          <w:sz w:val="22"/>
        </w:rPr>
        <w:t xml:space="preserve">claims submission deadline </w:t>
      </w:r>
      <w:r>
        <w:rPr>
          <w:rFonts w:ascii="Arial" w:hAnsi="Arial"/>
          <w:sz w:val="22"/>
        </w:rPr>
        <w:t xml:space="preserve">of June 30, 2020 </w:t>
      </w:r>
      <w:r w:rsidRPr="00686A7B">
        <w:rPr>
          <w:rFonts w:ascii="Arial" w:hAnsi="Arial"/>
          <w:sz w:val="22"/>
        </w:rPr>
        <w:t xml:space="preserve">has been extended. You </w:t>
      </w:r>
      <w:r>
        <w:rPr>
          <w:rFonts w:ascii="Arial" w:hAnsi="Arial"/>
          <w:sz w:val="22"/>
        </w:rPr>
        <w:t>may continue to submit claims previously incurred for the 2019 plan year</w:t>
      </w:r>
      <w:r w:rsidRPr="00686A7B">
        <w:rPr>
          <w:rFonts w:ascii="Arial" w:hAnsi="Arial"/>
          <w:sz w:val="22"/>
        </w:rPr>
        <w:t xml:space="preserve">. You will receive </w:t>
      </w:r>
      <w:r>
        <w:rPr>
          <w:rFonts w:ascii="Arial" w:hAnsi="Arial"/>
          <w:sz w:val="22"/>
        </w:rPr>
        <w:t>notification</w:t>
      </w:r>
      <w:r w:rsidRPr="00686A7B">
        <w:rPr>
          <w:rFonts w:ascii="Arial" w:hAnsi="Arial"/>
          <w:sz w:val="22"/>
        </w:rPr>
        <w:t xml:space="preserve"> of the</w:t>
      </w:r>
      <w:r>
        <w:rPr>
          <w:rFonts w:ascii="Arial" w:hAnsi="Arial"/>
          <w:sz w:val="22"/>
        </w:rPr>
        <w:t xml:space="preserve"> official</w:t>
      </w:r>
      <w:r w:rsidRPr="00686A7B">
        <w:rPr>
          <w:rFonts w:ascii="Arial" w:hAnsi="Arial"/>
          <w:sz w:val="22"/>
        </w:rPr>
        <w:t xml:space="preserve"> claims filing deadline once the end of the National Emergency has been announced</w:t>
      </w:r>
      <w:r>
        <w:rPr>
          <w:rFonts w:ascii="Arial" w:hAnsi="Arial"/>
          <w:sz w:val="22"/>
        </w:rPr>
        <w:t xml:space="preserve"> by the President of the United States</w:t>
      </w:r>
      <w:r w:rsidRPr="00686A7B">
        <w:rPr>
          <w:rFonts w:ascii="Arial" w:hAnsi="Arial"/>
          <w:sz w:val="22"/>
        </w:rPr>
        <w:t>.</w:t>
      </w:r>
    </w:p>
    <w:p w14:paraId="20A49CAD" w14:textId="49E65DCF" w:rsidR="00696614" w:rsidRPr="00686A7B" w:rsidRDefault="00696614" w:rsidP="00DB7B90">
      <w:pPr>
        <w:spacing w:after="200"/>
        <w:ind w:left="0"/>
        <w:rPr>
          <w:rFonts w:ascii="Arial" w:hAnsi="Arial"/>
          <w:sz w:val="22"/>
        </w:rPr>
      </w:pPr>
      <w:r>
        <w:rPr>
          <w:rFonts w:ascii="Arial" w:hAnsi="Arial"/>
          <w:sz w:val="22"/>
        </w:rPr>
        <w:t>Please note this does not extend the grace period for the 2019 plan year. Claims must be incurred between January 1, 2019</w:t>
      </w:r>
      <w:r w:rsidR="00433890">
        <w:rPr>
          <w:rFonts w:ascii="Arial" w:hAnsi="Arial"/>
          <w:sz w:val="22"/>
        </w:rPr>
        <w:t>,</w:t>
      </w:r>
      <w:r>
        <w:rPr>
          <w:rFonts w:ascii="Arial" w:hAnsi="Arial"/>
          <w:sz w:val="22"/>
        </w:rPr>
        <w:t xml:space="preserve"> and March 15, 2020 to be considered eligible. </w:t>
      </w:r>
    </w:p>
    <w:p w14:paraId="661B5AB6" w14:textId="77777777" w:rsidR="00696614" w:rsidRPr="00686A7B" w:rsidRDefault="00696614" w:rsidP="00DB7B90">
      <w:pPr>
        <w:spacing w:after="200"/>
        <w:ind w:left="0"/>
        <w:rPr>
          <w:rFonts w:ascii="Arial" w:hAnsi="Arial"/>
          <w:b/>
          <w:sz w:val="22"/>
        </w:rPr>
      </w:pPr>
      <w:r w:rsidRPr="00686A7B">
        <w:rPr>
          <w:rFonts w:ascii="Arial" w:hAnsi="Arial"/>
          <w:b/>
          <w:sz w:val="22"/>
        </w:rPr>
        <w:t>One-</w:t>
      </w:r>
      <w:r>
        <w:rPr>
          <w:rFonts w:ascii="Arial" w:hAnsi="Arial"/>
          <w:b/>
          <w:sz w:val="22"/>
        </w:rPr>
        <w:t>T</w:t>
      </w:r>
      <w:r w:rsidRPr="00686A7B">
        <w:rPr>
          <w:rFonts w:ascii="Arial" w:hAnsi="Arial"/>
          <w:b/>
          <w:sz w:val="22"/>
        </w:rPr>
        <w:t>ime Mid-Year Election Change Opportunity for the 2020 Plan Year</w:t>
      </w:r>
    </w:p>
    <w:p w14:paraId="4273DBFF" w14:textId="43A6C220" w:rsidR="00696614" w:rsidRDefault="00696614" w:rsidP="00DB7B90">
      <w:pPr>
        <w:spacing w:after="200"/>
        <w:ind w:left="0"/>
        <w:rPr>
          <w:rFonts w:ascii="Arial" w:hAnsi="Arial"/>
          <w:sz w:val="22"/>
        </w:rPr>
      </w:pPr>
      <w:r w:rsidRPr="00686A7B">
        <w:rPr>
          <w:rFonts w:ascii="Arial" w:hAnsi="Arial"/>
          <w:sz w:val="22"/>
        </w:rPr>
        <w:t xml:space="preserve">Employees will be allowed the opportunity to make a one-time, mid-year election change on a </w:t>
      </w:r>
      <w:r w:rsidRPr="00A6568D">
        <w:rPr>
          <w:rFonts w:ascii="Arial" w:hAnsi="Arial"/>
          <w:i/>
          <w:sz w:val="22"/>
        </w:rPr>
        <w:t>prospective basis</w:t>
      </w:r>
      <w:r w:rsidRPr="00686A7B">
        <w:rPr>
          <w:rFonts w:ascii="Arial" w:hAnsi="Arial"/>
          <w:sz w:val="22"/>
        </w:rPr>
        <w:t xml:space="preserve"> </w:t>
      </w:r>
      <w:r w:rsidRPr="00A6568D">
        <w:rPr>
          <w:rFonts w:ascii="Arial" w:hAnsi="Arial"/>
          <w:i/>
          <w:sz w:val="22"/>
        </w:rPr>
        <w:t xml:space="preserve">without a </w:t>
      </w:r>
      <w:r>
        <w:rPr>
          <w:rFonts w:ascii="Arial" w:hAnsi="Arial"/>
          <w:i/>
          <w:sz w:val="22"/>
        </w:rPr>
        <w:t>permitting</w:t>
      </w:r>
      <w:r w:rsidRPr="00A6568D">
        <w:rPr>
          <w:rFonts w:ascii="Arial" w:hAnsi="Arial"/>
          <w:i/>
          <w:sz w:val="22"/>
        </w:rPr>
        <w:t xml:space="preserve"> event</w:t>
      </w:r>
      <w:r w:rsidRPr="00686A7B">
        <w:rPr>
          <w:rFonts w:ascii="Arial" w:hAnsi="Arial"/>
          <w:sz w:val="22"/>
        </w:rPr>
        <w:t xml:space="preserve">. </w:t>
      </w:r>
      <w:r>
        <w:rPr>
          <w:rFonts w:ascii="Arial" w:hAnsi="Arial"/>
          <w:sz w:val="22"/>
        </w:rPr>
        <w:t xml:space="preserve">You may stop, enroll or change your current monthly contribution for the MRA, DCRA or both plans. Retroactive changes and refunds are still not permissible under Internal Revenue Service </w:t>
      </w:r>
      <w:r w:rsidR="00666C9A">
        <w:rPr>
          <w:rFonts w:ascii="Arial" w:hAnsi="Arial"/>
          <w:sz w:val="22"/>
        </w:rPr>
        <w:t xml:space="preserve">(IRS) </w:t>
      </w:r>
      <w:r>
        <w:rPr>
          <w:rFonts w:ascii="Arial" w:hAnsi="Arial"/>
          <w:sz w:val="22"/>
        </w:rPr>
        <w:t xml:space="preserve">guidelines at this time. You will be notified should this change in the future. </w:t>
      </w:r>
    </w:p>
    <w:p w14:paraId="71CBA458" w14:textId="77777777" w:rsidR="00696614" w:rsidRPr="00686A7B" w:rsidRDefault="00696614" w:rsidP="00DB7B90">
      <w:pPr>
        <w:spacing w:after="200"/>
        <w:ind w:left="0"/>
        <w:rPr>
          <w:rFonts w:ascii="Arial" w:hAnsi="Arial"/>
          <w:sz w:val="22"/>
        </w:rPr>
      </w:pPr>
      <w:r w:rsidRPr="00274021">
        <w:rPr>
          <w:rFonts w:ascii="Arial" w:hAnsi="Arial"/>
          <w:b/>
          <w:sz w:val="22"/>
        </w:rPr>
        <w:t>Important:</w:t>
      </w:r>
      <w:r>
        <w:rPr>
          <w:rFonts w:ascii="Arial" w:hAnsi="Arial"/>
          <w:sz w:val="22"/>
        </w:rPr>
        <w:t xml:space="preserve"> You cannot cancel or decrease your MRA or DCRA elections if you have been reimbursed more than your existing account balance for 2020. We will verify your account balance to determine your eligibility prior to processing your change or cancellation request. Please be aware of any claims you plan on submitting. In the case of an overpayment, you will be contacted by CalHR with more information. </w:t>
      </w:r>
    </w:p>
    <w:p w14:paraId="2C6CB496" w14:textId="77777777" w:rsidR="00696614" w:rsidRPr="00A6568D" w:rsidRDefault="00696614" w:rsidP="00DB7B90">
      <w:pPr>
        <w:spacing w:after="200"/>
        <w:ind w:left="0"/>
        <w:rPr>
          <w:rFonts w:ascii="Arial" w:hAnsi="Arial"/>
          <w:b/>
          <w:sz w:val="22"/>
        </w:rPr>
      </w:pPr>
      <w:r w:rsidRPr="00A6568D">
        <w:rPr>
          <w:rFonts w:ascii="Arial" w:hAnsi="Arial"/>
          <w:b/>
          <w:sz w:val="22"/>
        </w:rPr>
        <w:t xml:space="preserve">Procedure for Election Changes </w:t>
      </w:r>
    </w:p>
    <w:p w14:paraId="6158B8A1" w14:textId="77777777" w:rsidR="00696614" w:rsidRDefault="00696614" w:rsidP="00DB7B90">
      <w:pPr>
        <w:spacing w:after="200"/>
        <w:ind w:left="0"/>
        <w:rPr>
          <w:rFonts w:ascii="Arial" w:hAnsi="Arial"/>
          <w:sz w:val="22"/>
        </w:rPr>
      </w:pPr>
      <w:r>
        <w:rPr>
          <w:rFonts w:ascii="Arial" w:hAnsi="Arial"/>
          <w:sz w:val="22"/>
        </w:rPr>
        <w:t xml:space="preserve">If you wish to change or cancel your MRA and/or DCRA elections, you must complete a </w:t>
      </w:r>
      <w:hyperlink r:id="rId7" w:history="1">
        <w:r w:rsidRPr="00440131">
          <w:rPr>
            <w:rStyle w:val="Hyperlink"/>
            <w:rFonts w:ascii="Arial" w:hAnsi="Arial"/>
            <w:sz w:val="22"/>
          </w:rPr>
          <w:t>STD 701R – Reimbursement Account Enrollment Authorization</w:t>
        </w:r>
      </w:hyperlink>
      <w:r>
        <w:rPr>
          <w:rFonts w:ascii="Arial" w:hAnsi="Arial"/>
          <w:sz w:val="22"/>
        </w:rPr>
        <w:t xml:space="preserve"> and submit to </w:t>
      </w:r>
      <w:r w:rsidRPr="007749DC">
        <w:rPr>
          <w:rFonts w:ascii="Arial" w:hAnsi="Arial"/>
          <w:sz w:val="22"/>
          <w:highlight w:val="yellow"/>
        </w:rPr>
        <w:t>__________</w:t>
      </w:r>
      <w:r>
        <w:rPr>
          <w:rFonts w:ascii="Arial" w:hAnsi="Arial"/>
          <w:sz w:val="22"/>
        </w:rPr>
        <w:t xml:space="preserve">. Once your request has been approved and processed, you will have exercised your one-time exception. Any future changes will not be permitted for the 2020 plan year unless you experience a qualified permitting event. </w:t>
      </w:r>
    </w:p>
    <w:p w14:paraId="23AFE609" w14:textId="77777777" w:rsidR="00696614" w:rsidRDefault="00696614" w:rsidP="00DB7B90">
      <w:pPr>
        <w:spacing w:after="200"/>
        <w:ind w:left="0"/>
        <w:rPr>
          <w:rFonts w:ascii="Arial" w:hAnsi="Arial"/>
          <w:sz w:val="22"/>
        </w:rPr>
      </w:pPr>
      <w:r w:rsidRPr="00274021">
        <w:rPr>
          <w:rFonts w:ascii="Arial" w:hAnsi="Arial"/>
          <w:b/>
          <w:sz w:val="22"/>
        </w:rPr>
        <w:t>Important – Effective Date:</w:t>
      </w:r>
      <w:r>
        <w:rPr>
          <w:rFonts w:ascii="Arial" w:hAnsi="Arial"/>
          <w:sz w:val="22"/>
        </w:rPr>
        <w:t xml:space="preserve"> The Effective Date of Action follows the rules for a Standard Permitting Event and is based on the received date by the State Controller’s Office (SCO). If received by the 10</w:t>
      </w:r>
      <w:r w:rsidRPr="00666C9A">
        <w:rPr>
          <w:rFonts w:ascii="Arial" w:hAnsi="Arial"/>
          <w:sz w:val="22"/>
        </w:rPr>
        <w:t>th</w:t>
      </w:r>
      <w:r>
        <w:rPr>
          <w:rFonts w:ascii="Arial" w:hAnsi="Arial"/>
          <w:sz w:val="22"/>
        </w:rPr>
        <w:t xml:space="preserve"> of the month, the Effective Date of Action will be first of following month. If received after the 10</w:t>
      </w:r>
      <w:r w:rsidRPr="00666C9A">
        <w:rPr>
          <w:rFonts w:ascii="Arial" w:hAnsi="Arial"/>
          <w:sz w:val="22"/>
        </w:rPr>
        <w:t>th</w:t>
      </w:r>
      <w:r>
        <w:rPr>
          <w:rFonts w:ascii="Arial" w:hAnsi="Arial"/>
          <w:sz w:val="22"/>
        </w:rPr>
        <w:t xml:space="preserve"> of the month, the Effective Date of Action will be first of the next following month. </w:t>
      </w:r>
    </w:p>
    <w:p w14:paraId="2E18B02D" w14:textId="77777777" w:rsidR="00696614" w:rsidRDefault="00696614" w:rsidP="00DB7B90">
      <w:pPr>
        <w:spacing w:after="200"/>
        <w:ind w:left="0"/>
        <w:rPr>
          <w:rFonts w:ascii="Arial" w:hAnsi="Arial"/>
          <w:sz w:val="22"/>
        </w:rPr>
      </w:pPr>
      <w:r>
        <w:rPr>
          <w:rFonts w:ascii="Arial" w:hAnsi="Arial"/>
          <w:sz w:val="22"/>
        </w:rPr>
        <w:t>The last effective date to enroll, change or cancel for the 2020 plan year is December 1, 2020. SCO must receive your form no later than November 10, 2020.</w:t>
      </w:r>
    </w:p>
    <w:p w14:paraId="042B7E13" w14:textId="77777777" w:rsidR="00696614" w:rsidRDefault="00696614" w:rsidP="00DB7B90">
      <w:pPr>
        <w:spacing w:after="200"/>
        <w:ind w:left="0"/>
        <w:rPr>
          <w:rFonts w:ascii="Arial" w:hAnsi="Arial"/>
          <w:b/>
          <w:sz w:val="22"/>
        </w:rPr>
      </w:pPr>
      <w:r>
        <w:rPr>
          <w:rFonts w:ascii="Arial" w:hAnsi="Arial"/>
          <w:b/>
          <w:sz w:val="22"/>
        </w:rPr>
        <w:br w:type="page"/>
      </w:r>
    </w:p>
    <w:p w14:paraId="13905C92" w14:textId="77777777" w:rsidR="00696614" w:rsidRDefault="00696614" w:rsidP="00DB7B90">
      <w:pPr>
        <w:spacing w:after="200"/>
        <w:ind w:left="0"/>
        <w:rPr>
          <w:rFonts w:ascii="Arial" w:hAnsi="Arial"/>
          <w:b/>
          <w:sz w:val="22"/>
        </w:rPr>
      </w:pPr>
      <w:r>
        <w:rPr>
          <w:rFonts w:ascii="Arial" w:hAnsi="Arial"/>
          <w:b/>
          <w:sz w:val="22"/>
        </w:rPr>
        <w:lastRenderedPageBreak/>
        <w:t xml:space="preserve">Frequently Asked Questions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8779"/>
      </w:tblGrid>
      <w:tr w:rsidR="00696614" w14:paraId="2AD83B13" w14:textId="77777777" w:rsidTr="00433890">
        <w:tc>
          <w:tcPr>
            <w:tcW w:w="571" w:type="dxa"/>
          </w:tcPr>
          <w:p w14:paraId="243C1353" w14:textId="77777777" w:rsidR="00696614" w:rsidRDefault="00696614" w:rsidP="00DB7B90">
            <w:pPr>
              <w:spacing w:after="200"/>
              <w:ind w:left="0"/>
              <w:rPr>
                <w:rFonts w:ascii="Arial" w:hAnsi="Arial"/>
                <w:sz w:val="22"/>
              </w:rPr>
            </w:pPr>
            <w:r>
              <w:rPr>
                <w:rFonts w:ascii="Arial" w:hAnsi="Arial"/>
                <w:sz w:val="22"/>
              </w:rPr>
              <w:t>Q1.</w:t>
            </w:r>
          </w:p>
        </w:tc>
        <w:tc>
          <w:tcPr>
            <w:tcW w:w="8779" w:type="dxa"/>
          </w:tcPr>
          <w:p w14:paraId="2FBE192A" w14:textId="77777777" w:rsidR="00696614" w:rsidRPr="00433890" w:rsidRDefault="00696614" w:rsidP="00DB7B90">
            <w:pPr>
              <w:spacing w:after="200"/>
              <w:ind w:left="0"/>
              <w:rPr>
                <w:rFonts w:ascii="Arial" w:hAnsi="Arial"/>
                <w:b/>
                <w:sz w:val="22"/>
              </w:rPr>
            </w:pPr>
            <w:r w:rsidRPr="00433890">
              <w:rPr>
                <w:rFonts w:ascii="Arial" w:hAnsi="Arial"/>
                <w:b/>
                <w:sz w:val="22"/>
              </w:rPr>
              <w:t xml:space="preserve">I submitted a request to cancel my MRA as of September 1, 2020. How does this </w:t>
            </w:r>
            <w:r w:rsidR="00DB7B90" w:rsidRPr="00433890">
              <w:rPr>
                <w:rFonts w:ascii="Arial" w:hAnsi="Arial"/>
                <w:b/>
                <w:sz w:val="22"/>
              </w:rPr>
              <w:t xml:space="preserve">impact my claims filing dates? </w:t>
            </w:r>
          </w:p>
        </w:tc>
      </w:tr>
      <w:tr w:rsidR="00696614" w14:paraId="1806BBE8" w14:textId="77777777" w:rsidTr="00433890">
        <w:tc>
          <w:tcPr>
            <w:tcW w:w="571" w:type="dxa"/>
          </w:tcPr>
          <w:p w14:paraId="445F0113" w14:textId="77777777" w:rsidR="00696614" w:rsidRPr="00813B89" w:rsidRDefault="00696614" w:rsidP="00DB7B90">
            <w:pPr>
              <w:spacing w:after="200"/>
              <w:ind w:left="0"/>
              <w:rPr>
                <w:rFonts w:ascii="Arial" w:hAnsi="Arial"/>
                <w:sz w:val="22"/>
              </w:rPr>
            </w:pPr>
            <w:r>
              <w:rPr>
                <w:rFonts w:ascii="Arial" w:hAnsi="Arial"/>
                <w:sz w:val="22"/>
              </w:rPr>
              <w:t xml:space="preserve">A1. </w:t>
            </w:r>
          </w:p>
          <w:p w14:paraId="0BB90016" w14:textId="77777777" w:rsidR="00696614" w:rsidRDefault="00696614" w:rsidP="00DB7B90">
            <w:pPr>
              <w:spacing w:after="200"/>
              <w:ind w:left="0"/>
              <w:rPr>
                <w:rFonts w:ascii="Arial" w:hAnsi="Arial"/>
                <w:sz w:val="22"/>
              </w:rPr>
            </w:pPr>
          </w:p>
        </w:tc>
        <w:tc>
          <w:tcPr>
            <w:tcW w:w="8779" w:type="dxa"/>
          </w:tcPr>
          <w:p w14:paraId="5344F8B9" w14:textId="77777777" w:rsidR="00696614" w:rsidRDefault="00696614" w:rsidP="00DB7B90">
            <w:pPr>
              <w:spacing w:after="200"/>
              <w:ind w:left="0"/>
              <w:rPr>
                <w:rFonts w:ascii="Arial" w:hAnsi="Arial"/>
                <w:sz w:val="22"/>
              </w:rPr>
            </w:pPr>
            <w:r>
              <w:rPr>
                <w:rFonts w:ascii="Arial" w:hAnsi="Arial"/>
                <w:sz w:val="22"/>
              </w:rPr>
              <w:t xml:space="preserve">You will remain eligible to incur expenses under the MRA through August 31, 2020. Any claims incurred after August 31, 2020 will not be eligible for reimbursement. You will have until June 30, 2021 to file your claim with ASIFlex for reimbursement. </w:t>
            </w:r>
          </w:p>
        </w:tc>
      </w:tr>
      <w:tr w:rsidR="00696614" w14:paraId="74E67074" w14:textId="77777777" w:rsidTr="00433890">
        <w:tc>
          <w:tcPr>
            <w:tcW w:w="571" w:type="dxa"/>
          </w:tcPr>
          <w:p w14:paraId="55637FEF" w14:textId="77777777" w:rsidR="00696614" w:rsidRDefault="00696614" w:rsidP="00DB7B90">
            <w:pPr>
              <w:spacing w:after="200"/>
              <w:ind w:left="0"/>
              <w:rPr>
                <w:rFonts w:ascii="Arial" w:hAnsi="Arial"/>
                <w:sz w:val="22"/>
              </w:rPr>
            </w:pPr>
            <w:r>
              <w:rPr>
                <w:rFonts w:ascii="Arial" w:hAnsi="Arial"/>
                <w:sz w:val="22"/>
              </w:rPr>
              <w:t xml:space="preserve">Q2. </w:t>
            </w:r>
          </w:p>
        </w:tc>
        <w:tc>
          <w:tcPr>
            <w:tcW w:w="8779" w:type="dxa"/>
          </w:tcPr>
          <w:p w14:paraId="652FC6B1" w14:textId="77777777" w:rsidR="00696614" w:rsidRPr="00433890" w:rsidRDefault="00696614" w:rsidP="00DB7B90">
            <w:pPr>
              <w:spacing w:after="200"/>
              <w:ind w:left="0"/>
              <w:rPr>
                <w:rFonts w:ascii="Arial" w:hAnsi="Arial"/>
                <w:b/>
                <w:sz w:val="22"/>
              </w:rPr>
            </w:pPr>
            <w:r w:rsidRPr="00433890">
              <w:rPr>
                <w:rFonts w:ascii="Arial" w:hAnsi="Arial"/>
                <w:b/>
                <w:sz w:val="22"/>
              </w:rPr>
              <w:t xml:space="preserve">I submitted my request to cancel my DCRA as of September 1, 2020. How does this impact my claims filing dates? </w:t>
            </w:r>
          </w:p>
        </w:tc>
      </w:tr>
      <w:tr w:rsidR="00696614" w14:paraId="09EC5F2D" w14:textId="77777777" w:rsidTr="00433890">
        <w:tc>
          <w:tcPr>
            <w:tcW w:w="571" w:type="dxa"/>
          </w:tcPr>
          <w:p w14:paraId="47751185" w14:textId="77777777" w:rsidR="00696614" w:rsidRDefault="00696614" w:rsidP="00DB7B90">
            <w:pPr>
              <w:spacing w:after="200"/>
              <w:ind w:left="0"/>
              <w:rPr>
                <w:rFonts w:ascii="Arial" w:hAnsi="Arial"/>
                <w:sz w:val="22"/>
              </w:rPr>
            </w:pPr>
            <w:r>
              <w:rPr>
                <w:rFonts w:ascii="Arial" w:hAnsi="Arial"/>
                <w:sz w:val="22"/>
              </w:rPr>
              <w:t xml:space="preserve">A2. </w:t>
            </w:r>
          </w:p>
        </w:tc>
        <w:tc>
          <w:tcPr>
            <w:tcW w:w="8779" w:type="dxa"/>
          </w:tcPr>
          <w:p w14:paraId="712DED0F" w14:textId="0A6A6893" w:rsidR="00696614" w:rsidRDefault="00696614" w:rsidP="00433890">
            <w:pPr>
              <w:spacing w:after="200"/>
              <w:ind w:left="0"/>
              <w:jc w:val="both"/>
              <w:rPr>
                <w:rFonts w:ascii="Arial" w:hAnsi="Arial"/>
                <w:sz w:val="22"/>
              </w:rPr>
            </w:pPr>
            <w:r>
              <w:rPr>
                <w:rFonts w:ascii="Arial" w:hAnsi="Arial"/>
                <w:sz w:val="22"/>
              </w:rPr>
              <w:t>If you are not enrolled in the DCRA as of December 31, 2020, this is the last day you can incur for the 2020 plan year. If you are enrolled in the DCRA as of</w:t>
            </w:r>
            <w:r w:rsidR="00433890">
              <w:rPr>
                <w:rFonts w:ascii="Arial" w:hAnsi="Arial"/>
                <w:sz w:val="22"/>
              </w:rPr>
              <w:t xml:space="preserve">                  </w:t>
            </w:r>
            <w:r>
              <w:rPr>
                <w:rFonts w:ascii="Arial" w:hAnsi="Arial"/>
                <w:sz w:val="22"/>
              </w:rPr>
              <w:t xml:space="preserve"> </w:t>
            </w:r>
            <w:r w:rsidR="00433890">
              <w:rPr>
                <w:rFonts w:ascii="Arial" w:hAnsi="Arial"/>
                <w:sz w:val="22"/>
              </w:rPr>
              <w:t xml:space="preserve">                </w:t>
            </w:r>
            <w:r>
              <w:rPr>
                <w:rFonts w:ascii="Arial" w:hAnsi="Arial"/>
                <w:sz w:val="22"/>
              </w:rPr>
              <w:t>December 31, 2020, you are eligible for the grace period and can continue to incur claims until March 15, 2021. You will have until June 30, 2021 to file your claim with ASIFlex for reimbursement in either scenario.</w:t>
            </w:r>
          </w:p>
        </w:tc>
      </w:tr>
      <w:tr w:rsidR="00696614" w14:paraId="0E2E844A" w14:textId="77777777" w:rsidTr="00433890">
        <w:tc>
          <w:tcPr>
            <w:tcW w:w="571" w:type="dxa"/>
          </w:tcPr>
          <w:p w14:paraId="4C0BE53D" w14:textId="77777777" w:rsidR="00696614" w:rsidRDefault="00696614" w:rsidP="00DB7B90">
            <w:pPr>
              <w:spacing w:after="200"/>
              <w:ind w:left="0"/>
              <w:rPr>
                <w:rFonts w:ascii="Arial" w:hAnsi="Arial"/>
                <w:sz w:val="22"/>
              </w:rPr>
            </w:pPr>
            <w:r>
              <w:rPr>
                <w:rFonts w:ascii="Arial" w:hAnsi="Arial"/>
                <w:sz w:val="22"/>
              </w:rPr>
              <w:t xml:space="preserve">Q3. </w:t>
            </w:r>
          </w:p>
        </w:tc>
        <w:tc>
          <w:tcPr>
            <w:tcW w:w="8779" w:type="dxa"/>
          </w:tcPr>
          <w:p w14:paraId="7F662F38" w14:textId="77777777" w:rsidR="00696614" w:rsidRPr="00433890" w:rsidRDefault="00696614" w:rsidP="00DB7B90">
            <w:pPr>
              <w:spacing w:after="200"/>
              <w:ind w:left="0"/>
              <w:rPr>
                <w:rFonts w:ascii="Arial" w:hAnsi="Arial"/>
                <w:b/>
                <w:sz w:val="22"/>
              </w:rPr>
            </w:pPr>
            <w:r w:rsidRPr="00433890">
              <w:rPr>
                <w:rFonts w:ascii="Arial" w:hAnsi="Arial"/>
                <w:b/>
                <w:sz w:val="22"/>
              </w:rPr>
              <w:t xml:space="preserve">What do I do if I still have money in my account(s)? </w:t>
            </w:r>
          </w:p>
        </w:tc>
      </w:tr>
      <w:tr w:rsidR="00696614" w14:paraId="112F3166" w14:textId="77777777" w:rsidTr="00433890">
        <w:tc>
          <w:tcPr>
            <w:tcW w:w="571" w:type="dxa"/>
          </w:tcPr>
          <w:p w14:paraId="2995B19F" w14:textId="77777777" w:rsidR="00696614" w:rsidRDefault="00696614" w:rsidP="00DB7B90">
            <w:pPr>
              <w:spacing w:after="200"/>
              <w:ind w:left="0"/>
              <w:rPr>
                <w:rFonts w:ascii="Arial" w:hAnsi="Arial"/>
                <w:sz w:val="22"/>
              </w:rPr>
            </w:pPr>
            <w:r>
              <w:rPr>
                <w:rFonts w:ascii="Arial" w:hAnsi="Arial"/>
                <w:sz w:val="22"/>
              </w:rPr>
              <w:t xml:space="preserve">A3. </w:t>
            </w:r>
          </w:p>
        </w:tc>
        <w:tc>
          <w:tcPr>
            <w:tcW w:w="8779" w:type="dxa"/>
          </w:tcPr>
          <w:p w14:paraId="6ECBF714" w14:textId="1863E94E" w:rsidR="00696614" w:rsidRDefault="00696614" w:rsidP="00DB7B90">
            <w:pPr>
              <w:spacing w:after="200"/>
              <w:ind w:left="0"/>
              <w:rPr>
                <w:rFonts w:ascii="Arial" w:hAnsi="Arial"/>
                <w:sz w:val="22"/>
              </w:rPr>
            </w:pPr>
            <w:r>
              <w:rPr>
                <w:rFonts w:ascii="Arial" w:hAnsi="Arial"/>
                <w:sz w:val="22"/>
              </w:rPr>
              <w:t>IRS guidelines do not allow for retroactive adjustments or refunds of remaining balances. The following resource</w:t>
            </w:r>
            <w:r w:rsidR="00274021">
              <w:rPr>
                <w:rFonts w:ascii="Arial" w:hAnsi="Arial"/>
                <w:sz w:val="22"/>
              </w:rPr>
              <w:t xml:space="preserve"> l</w:t>
            </w:r>
            <w:bookmarkStart w:id="0" w:name="_GoBack"/>
            <w:bookmarkEnd w:id="0"/>
            <w:r w:rsidR="00274021">
              <w:rPr>
                <w:rFonts w:ascii="Arial" w:hAnsi="Arial"/>
                <w:sz w:val="22"/>
              </w:rPr>
              <w:t>inks</w:t>
            </w:r>
            <w:r>
              <w:rPr>
                <w:rFonts w:ascii="Arial" w:hAnsi="Arial"/>
                <w:sz w:val="22"/>
              </w:rPr>
              <w:t xml:space="preserve"> provide you with additional information regarding eligible expenses which may help you spend down your account(s): </w:t>
            </w:r>
          </w:p>
          <w:p w14:paraId="21D29DB3" w14:textId="77777777" w:rsidR="00696614" w:rsidRDefault="00666C9A" w:rsidP="00DB7B90">
            <w:pPr>
              <w:pStyle w:val="ListParagraph"/>
              <w:numPr>
                <w:ilvl w:val="0"/>
                <w:numId w:val="1"/>
              </w:numPr>
              <w:spacing w:after="200"/>
              <w:rPr>
                <w:sz w:val="22"/>
              </w:rPr>
            </w:pPr>
            <w:hyperlink r:id="rId8" w:history="1">
              <w:r w:rsidR="00696614" w:rsidRPr="00184AFD">
                <w:rPr>
                  <w:rStyle w:val="Hyperlink"/>
                  <w:sz w:val="22"/>
                </w:rPr>
                <w:t>ASIFlex Eligible Expenses</w:t>
              </w:r>
            </w:hyperlink>
            <w:r w:rsidR="00696614">
              <w:rPr>
                <w:sz w:val="22"/>
              </w:rPr>
              <w:t xml:space="preserve"> </w:t>
            </w:r>
          </w:p>
          <w:p w14:paraId="27F89101" w14:textId="77777777" w:rsidR="00696614" w:rsidRDefault="00666C9A" w:rsidP="00DB7B90">
            <w:pPr>
              <w:pStyle w:val="ListParagraph"/>
              <w:numPr>
                <w:ilvl w:val="0"/>
                <w:numId w:val="1"/>
              </w:numPr>
              <w:spacing w:after="200"/>
              <w:rPr>
                <w:sz w:val="22"/>
              </w:rPr>
            </w:pPr>
            <w:hyperlink r:id="rId9" w:history="1">
              <w:r w:rsidR="00696614" w:rsidRPr="00184AFD">
                <w:rPr>
                  <w:rStyle w:val="Hyperlink"/>
                  <w:sz w:val="22"/>
                </w:rPr>
                <w:t>FSA Store</w:t>
              </w:r>
            </w:hyperlink>
          </w:p>
          <w:p w14:paraId="05DF96F4" w14:textId="77777777" w:rsidR="00696614" w:rsidRDefault="00666C9A" w:rsidP="00DB7B90">
            <w:pPr>
              <w:pStyle w:val="ListParagraph"/>
              <w:numPr>
                <w:ilvl w:val="0"/>
                <w:numId w:val="1"/>
              </w:numPr>
              <w:spacing w:after="200"/>
              <w:rPr>
                <w:sz w:val="22"/>
              </w:rPr>
            </w:pPr>
            <w:hyperlink r:id="rId10" w:history="1">
              <w:r w:rsidR="00696614" w:rsidRPr="00184AFD">
                <w:rPr>
                  <w:rStyle w:val="Hyperlink"/>
                  <w:sz w:val="22"/>
                </w:rPr>
                <w:t>IRS Publication 502 – Medical and Dental Expenses</w:t>
              </w:r>
            </w:hyperlink>
            <w:r w:rsidR="00696614">
              <w:rPr>
                <w:sz w:val="22"/>
              </w:rPr>
              <w:t xml:space="preserve"> </w:t>
            </w:r>
          </w:p>
          <w:p w14:paraId="6DAEBBF8" w14:textId="77777777" w:rsidR="00696614" w:rsidRDefault="00666C9A" w:rsidP="00DB7B90">
            <w:pPr>
              <w:pStyle w:val="ListParagraph"/>
              <w:numPr>
                <w:ilvl w:val="0"/>
                <w:numId w:val="1"/>
              </w:numPr>
              <w:spacing w:after="200"/>
              <w:rPr>
                <w:sz w:val="22"/>
              </w:rPr>
            </w:pPr>
            <w:hyperlink r:id="rId11" w:history="1">
              <w:r w:rsidR="00696614" w:rsidRPr="00184AFD">
                <w:rPr>
                  <w:rStyle w:val="Hyperlink"/>
                  <w:sz w:val="22"/>
                </w:rPr>
                <w:t>IRS Publication 503 – Child and Dependent Care Expenses</w:t>
              </w:r>
            </w:hyperlink>
            <w:r w:rsidR="00696614">
              <w:rPr>
                <w:sz w:val="22"/>
              </w:rPr>
              <w:t xml:space="preserve"> </w:t>
            </w:r>
          </w:p>
          <w:p w14:paraId="636E152C" w14:textId="77777777" w:rsidR="00696614" w:rsidRPr="00184AFD" w:rsidRDefault="00696614" w:rsidP="00DB7B90">
            <w:pPr>
              <w:spacing w:after="200"/>
              <w:ind w:left="0"/>
              <w:rPr>
                <w:rFonts w:ascii="Arial" w:hAnsi="Arial" w:cs="Arial"/>
                <w:sz w:val="22"/>
              </w:rPr>
            </w:pPr>
            <w:r w:rsidRPr="00274021">
              <w:rPr>
                <w:rFonts w:ascii="Arial" w:hAnsi="Arial" w:cs="Arial"/>
                <w:b/>
                <w:sz w:val="22"/>
              </w:rPr>
              <w:t>Note:</w:t>
            </w:r>
            <w:r w:rsidRPr="00184AFD">
              <w:rPr>
                <w:rFonts w:ascii="Arial" w:hAnsi="Arial" w:cs="Arial"/>
                <w:sz w:val="22"/>
              </w:rPr>
              <w:t xml:space="preserve"> Over-the-counter drugs and medicines purchased on or after January 1, 2020 are eligible </w:t>
            </w:r>
            <w:r w:rsidRPr="00184AFD">
              <w:rPr>
                <w:rFonts w:ascii="Arial" w:hAnsi="Arial" w:cs="Arial"/>
                <w:i/>
                <w:sz w:val="22"/>
              </w:rPr>
              <w:t>without a prescription</w:t>
            </w:r>
            <w:r w:rsidRPr="00184AFD">
              <w:rPr>
                <w:rFonts w:ascii="Arial" w:hAnsi="Arial" w:cs="Arial"/>
                <w:sz w:val="22"/>
              </w:rPr>
              <w:t xml:space="preserve">. </w:t>
            </w:r>
            <w:r>
              <w:rPr>
                <w:rFonts w:ascii="Arial" w:hAnsi="Arial" w:cs="Arial"/>
                <w:sz w:val="22"/>
              </w:rPr>
              <w:t>M</w:t>
            </w:r>
            <w:r w:rsidRPr="00184AFD">
              <w:rPr>
                <w:rFonts w:ascii="Arial" w:hAnsi="Arial" w:cs="Arial"/>
                <w:sz w:val="22"/>
              </w:rPr>
              <w:t xml:space="preserve">enstrual care products are </w:t>
            </w:r>
            <w:r>
              <w:rPr>
                <w:rFonts w:ascii="Arial" w:hAnsi="Arial" w:cs="Arial"/>
                <w:sz w:val="22"/>
              </w:rPr>
              <w:t xml:space="preserve">also now </w:t>
            </w:r>
            <w:r w:rsidRPr="00184AFD">
              <w:rPr>
                <w:rFonts w:ascii="Arial" w:hAnsi="Arial" w:cs="Arial"/>
                <w:sz w:val="22"/>
              </w:rPr>
              <w:t xml:space="preserve">eligible after January 1, 2020. </w:t>
            </w:r>
          </w:p>
        </w:tc>
      </w:tr>
    </w:tbl>
    <w:p w14:paraId="5A86C58F" w14:textId="77777777" w:rsidR="00696614" w:rsidRPr="00A6568D" w:rsidRDefault="00696614" w:rsidP="00DB7B90">
      <w:pPr>
        <w:spacing w:after="200"/>
        <w:ind w:left="0"/>
        <w:rPr>
          <w:rFonts w:ascii="Arial" w:hAnsi="Arial"/>
          <w:b/>
          <w:sz w:val="22"/>
        </w:rPr>
      </w:pPr>
      <w:r w:rsidRPr="00A6568D">
        <w:rPr>
          <w:rFonts w:ascii="Arial" w:hAnsi="Arial"/>
          <w:b/>
          <w:sz w:val="22"/>
        </w:rPr>
        <w:t xml:space="preserve">Questions </w:t>
      </w:r>
    </w:p>
    <w:p w14:paraId="7F55DEEE" w14:textId="77777777" w:rsidR="00696614" w:rsidRDefault="00696614" w:rsidP="00DB7B90">
      <w:pPr>
        <w:spacing w:after="200"/>
        <w:ind w:left="0"/>
      </w:pPr>
      <w:r>
        <w:rPr>
          <w:rFonts w:ascii="Arial" w:hAnsi="Arial"/>
          <w:sz w:val="22"/>
        </w:rPr>
        <w:t xml:space="preserve">If you have questions, please contact </w:t>
      </w:r>
      <w:r w:rsidRPr="00A6568D">
        <w:rPr>
          <w:rFonts w:ascii="Arial" w:hAnsi="Arial"/>
          <w:sz w:val="22"/>
          <w:highlight w:val="yellow"/>
        </w:rPr>
        <w:t>_____________________.</w:t>
      </w:r>
    </w:p>
    <w:p w14:paraId="1C564474" w14:textId="77777777" w:rsidR="00A66FD3" w:rsidRDefault="00A66FD3" w:rsidP="00DB7B90">
      <w:pPr>
        <w:spacing w:after="200"/>
      </w:pPr>
    </w:p>
    <w:sectPr w:rsidR="00A66FD3" w:rsidSect="00324847">
      <w:headerReference w:type="default" r:id="rId12"/>
      <w:footerReference w:type="default" r:id="rId13"/>
      <w:headerReference w:type="first" r:id="rId14"/>
      <w:footerReference w:type="first" r:id="rId15"/>
      <w:pgSz w:w="12240" w:h="15840"/>
      <w:pgMar w:top="1440" w:right="1440" w:bottom="153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E8C73" w14:textId="77777777" w:rsidR="007022B7" w:rsidRDefault="007022B7" w:rsidP="00696614">
      <w:r>
        <w:separator/>
      </w:r>
    </w:p>
  </w:endnote>
  <w:endnote w:type="continuationSeparator" w:id="0">
    <w:p w14:paraId="1D78FA6E" w14:textId="77777777" w:rsidR="007022B7" w:rsidRDefault="007022B7" w:rsidP="0069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2DD7E" w14:textId="77777777" w:rsidR="0035354C" w:rsidRPr="00157B8B" w:rsidRDefault="00666C9A" w:rsidP="00696614">
    <w:pPr>
      <w:pStyle w:val="Footer"/>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7114E" w14:textId="77777777" w:rsidR="00541201" w:rsidRPr="00FF4B9E" w:rsidRDefault="00666C9A" w:rsidP="00541201">
    <w:pPr>
      <w:pStyle w:val="Footer"/>
      <w:ind w:left="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50C7B" w14:textId="77777777" w:rsidR="007022B7" w:rsidRDefault="007022B7" w:rsidP="00696614">
      <w:r>
        <w:separator/>
      </w:r>
    </w:p>
  </w:footnote>
  <w:footnote w:type="continuationSeparator" w:id="0">
    <w:p w14:paraId="21CFA0CE" w14:textId="77777777" w:rsidR="007022B7" w:rsidRDefault="007022B7" w:rsidP="00696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F058" w14:textId="01612BC1" w:rsidR="005E2D6E" w:rsidRDefault="009F240C" w:rsidP="006D7227">
    <w:pPr>
      <w:pStyle w:val="Header"/>
      <w:ind w:left="0"/>
      <w:rPr>
        <w:noProof/>
      </w:rPr>
    </w:pPr>
    <w:r>
      <w:t xml:space="preserve">Page </w:t>
    </w:r>
    <w:r>
      <w:fldChar w:fldCharType="begin"/>
    </w:r>
    <w:r>
      <w:instrText xml:space="preserve"> PAGE   \* MERGEFORMAT </w:instrText>
    </w:r>
    <w:r>
      <w:fldChar w:fldCharType="separate"/>
    </w:r>
    <w:r w:rsidR="00666C9A">
      <w:rPr>
        <w:noProof/>
      </w:rPr>
      <w:t>2</w:t>
    </w:r>
    <w:r>
      <w:rPr>
        <w:noProof/>
      </w:rPr>
      <w:fldChar w:fldCharType="end"/>
    </w:r>
  </w:p>
  <w:p w14:paraId="45F7256D" w14:textId="77777777" w:rsidR="006D7227" w:rsidRDefault="00666C9A" w:rsidP="006D7227">
    <w:pPr>
      <w:pStyle w:val="Header"/>
      <w:ind w:left="0"/>
      <w:rPr>
        <w:noProof/>
      </w:rPr>
    </w:pPr>
  </w:p>
  <w:p w14:paraId="3563AF0C" w14:textId="77777777" w:rsidR="006D7227" w:rsidRDefault="00666C9A" w:rsidP="006D7227">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6718" w14:textId="77777777" w:rsidR="00541201" w:rsidRPr="00541201" w:rsidRDefault="00666C9A" w:rsidP="00541201">
    <w:pPr>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57480"/>
    <w:multiLevelType w:val="hybridMultilevel"/>
    <w:tmpl w:val="5EE8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14"/>
    <w:rsid w:val="00075BA4"/>
    <w:rsid w:val="00274021"/>
    <w:rsid w:val="002F1A20"/>
    <w:rsid w:val="00433890"/>
    <w:rsid w:val="00595634"/>
    <w:rsid w:val="00666C9A"/>
    <w:rsid w:val="00696614"/>
    <w:rsid w:val="007022B7"/>
    <w:rsid w:val="00893690"/>
    <w:rsid w:val="009F240C"/>
    <w:rsid w:val="00A66FD3"/>
    <w:rsid w:val="00DB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350D"/>
  <w15:chartTrackingRefBased/>
  <w15:docId w15:val="{677F6EC1-D2DB-48E5-B45B-A786121C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14"/>
    <w:pPr>
      <w:spacing w:after="0" w:line="240" w:lineRule="auto"/>
      <w:ind w:left="144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o-From-Re"/>
    <w:basedOn w:val="Normal"/>
    <w:uiPriority w:val="34"/>
    <w:qFormat/>
    <w:rsid w:val="00696614"/>
    <w:pPr>
      <w:spacing w:after="120"/>
      <w:ind w:left="158"/>
    </w:pPr>
    <w:rPr>
      <w:rFonts w:ascii="Arial" w:hAnsi="Arial"/>
      <w:sz w:val="28"/>
    </w:rPr>
  </w:style>
  <w:style w:type="paragraph" w:styleId="Header">
    <w:name w:val="header"/>
    <w:basedOn w:val="Normal"/>
    <w:link w:val="HeaderChar"/>
    <w:uiPriority w:val="99"/>
    <w:unhideWhenUsed/>
    <w:rsid w:val="00696614"/>
    <w:pPr>
      <w:tabs>
        <w:tab w:val="center" w:pos="4680"/>
        <w:tab w:val="right" w:pos="9360"/>
      </w:tabs>
    </w:pPr>
  </w:style>
  <w:style w:type="character" w:customStyle="1" w:styleId="HeaderChar">
    <w:name w:val="Header Char"/>
    <w:basedOn w:val="DefaultParagraphFont"/>
    <w:link w:val="Header"/>
    <w:uiPriority w:val="99"/>
    <w:rsid w:val="00696614"/>
    <w:rPr>
      <w:sz w:val="24"/>
    </w:rPr>
  </w:style>
  <w:style w:type="paragraph" w:styleId="Footer">
    <w:name w:val="footer"/>
    <w:basedOn w:val="Normal"/>
    <w:link w:val="FooterChar"/>
    <w:uiPriority w:val="99"/>
    <w:unhideWhenUsed/>
    <w:rsid w:val="00696614"/>
    <w:pPr>
      <w:tabs>
        <w:tab w:val="center" w:pos="4680"/>
        <w:tab w:val="right" w:pos="9360"/>
      </w:tabs>
    </w:pPr>
  </w:style>
  <w:style w:type="character" w:customStyle="1" w:styleId="FooterChar">
    <w:name w:val="Footer Char"/>
    <w:basedOn w:val="DefaultParagraphFont"/>
    <w:link w:val="Footer"/>
    <w:uiPriority w:val="99"/>
    <w:rsid w:val="00696614"/>
    <w:rPr>
      <w:sz w:val="24"/>
    </w:rPr>
  </w:style>
  <w:style w:type="table" w:styleId="TableGrid">
    <w:name w:val="Table Grid"/>
    <w:basedOn w:val="TableNormal"/>
    <w:uiPriority w:val="59"/>
    <w:rsid w:val="00696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6614"/>
    <w:rPr>
      <w:color w:val="0563C1" w:themeColor="hyperlink"/>
      <w:u w:val="single"/>
    </w:rPr>
  </w:style>
  <w:style w:type="character" w:styleId="CommentReference">
    <w:name w:val="annotation reference"/>
    <w:basedOn w:val="DefaultParagraphFont"/>
    <w:uiPriority w:val="99"/>
    <w:semiHidden/>
    <w:unhideWhenUsed/>
    <w:rsid w:val="00075BA4"/>
    <w:rPr>
      <w:sz w:val="16"/>
      <w:szCs w:val="16"/>
    </w:rPr>
  </w:style>
  <w:style w:type="paragraph" w:styleId="CommentText">
    <w:name w:val="annotation text"/>
    <w:basedOn w:val="Normal"/>
    <w:link w:val="CommentTextChar"/>
    <w:uiPriority w:val="99"/>
    <w:semiHidden/>
    <w:unhideWhenUsed/>
    <w:rsid w:val="00075BA4"/>
    <w:rPr>
      <w:sz w:val="20"/>
      <w:szCs w:val="20"/>
    </w:rPr>
  </w:style>
  <w:style w:type="character" w:customStyle="1" w:styleId="CommentTextChar">
    <w:name w:val="Comment Text Char"/>
    <w:basedOn w:val="DefaultParagraphFont"/>
    <w:link w:val="CommentText"/>
    <w:uiPriority w:val="99"/>
    <w:semiHidden/>
    <w:rsid w:val="00075BA4"/>
    <w:rPr>
      <w:sz w:val="20"/>
      <w:szCs w:val="20"/>
    </w:rPr>
  </w:style>
  <w:style w:type="paragraph" w:styleId="CommentSubject">
    <w:name w:val="annotation subject"/>
    <w:basedOn w:val="CommentText"/>
    <w:next w:val="CommentText"/>
    <w:link w:val="CommentSubjectChar"/>
    <w:uiPriority w:val="99"/>
    <w:semiHidden/>
    <w:unhideWhenUsed/>
    <w:rsid w:val="00075BA4"/>
    <w:rPr>
      <w:b/>
      <w:bCs/>
    </w:rPr>
  </w:style>
  <w:style w:type="character" w:customStyle="1" w:styleId="CommentSubjectChar">
    <w:name w:val="Comment Subject Char"/>
    <w:basedOn w:val="CommentTextChar"/>
    <w:link w:val="CommentSubject"/>
    <w:uiPriority w:val="99"/>
    <w:semiHidden/>
    <w:rsid w:val="00075BA4"/>
    <w:rPr>
      <w:b/>
      <w:bCs/>
      <w:sz w:val="20"/>
      <w:szCs w:val="20"/>
    </w:rPr>
  </w:style>
  <w:style w:type="paragraph" w:styleId="BalloonText">
    <w:name w:val="Balloon Text"/>
    <w:basedOn w:val="Normal"/>
    <w:link w:val="BalloonTextChar"/>
    <w:uiPriority w:val="99"/>
    <w:semiHidden/>
    <w:unhideWhenUsed/>
    <w:rsid w:val="00075B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flex.com/EligibleExpenses.aspx?cc=JV&amp;rn=10" TargetMode="Externa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documents.dgs.ca.gov/dgs/fmc/pdf/std701R.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p503.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irs.gov/pub/irs-pdf/p502.pdf"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sastore.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nefits Document" ma:contentTypeID="0x01010003207965D936FC419890337BDD8E025F00AF49F5B4680CAF429EA8CFBE28809B780100A5495FF6A55477409885D1442F02EF7B" ma:contentTypeVersion="5" ma:contentTypeDescription="" ma:contentTypeScope="" ma:versionID="e46985bc5e2eb73edf6dd1e705ac5ed7">
  <xsd:schema xmlns:xsd="http://www.w3.org/2001/XMLSchema" xmlns:xs="http://www.w3.org/2001/XMLSchema" xmlns:p="http://schemas.microsoft.com/office/2006/metadata/properties" xmlns:ns1="http://schemas.microsoft.com/sharepoint/v3" xmlns:ns2="http://schemas.microsoft.com/sharepoint/v3/fields" xmlns:ns3="d09d1775-0ef4-463c-b37e-63d33e6c9716" xmlns:ns4="76bdb9c2-3652-4bd5-b330-1eb3d8127efd" targetNamespace="http://schemas.microsoft.com/office/2006/metadata/properties" ma:root="true" ma:fieldsID="ca482fa763b9ef3060b4308ab687c5e0" ns1:_="" ns2:_="" ns3:_="" ns4:_="">
    <xsd:import namespace="http://schemas.microsoft.com/sharepoint/v3"/>
    <xsd:import namespace="http://schemas.microsoft.com/sharepoint/v3/fields"/>
    <xsd:import namespace="d09d1775-0ef4-463c-b37e-63d33e6c9716"/>
    <xsd:import namespace="76bdb9c2-3652-4bd5-b330-1eb3d8127efd"/>
    <xsd:element name="properties">
      <xsd:complexType>
        <xsd:sequence>
          <xsd:element name="documentManagement">
            <xsd:complexType>
              <xsd:all>
                <xsd:element ref="ns1:KpiDescription" minOccurs="0"/>
                <xsd:element ref="ns3:CHR_x0020_Unit"/>
                <xsd:element ref="ns3:Program_x003a_Program_x0020_role" minOccurs="0"/>
                <xsd:element ref="ns4:scRollupDescription" minOccurs="0"/>
                <xsd:element ref="ns3:scGroupBy" minOccurs="0"/>
                <xsd:element ref="ns3:k4dc48185f36485f8709a09a01d58e29" minOccurs="0"/>
                <xsd:element ref="ns3:TaxCatchAll" minOccurs="0"/>
                <xsd:element ref="ns3:TaxCatchAllLabel" minOccurs="0"/>
                <xsd:element ref="ns2:scDocCategory_0" minOccurs="0"/>
                <xsd:element ref="ns4:c700ff25e99e4baaab6915db9322d896" minOccurs="0"/>
                <xsd:element ref="ns3:SharedWithUsers" minOccurs="0"/>
                <xsd:element ref="ns3:_x0035_08_x0020_Accessible"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cDocCategory_0" ma:index="20" nillable="true" ma:taxonomy="true" ma:internalName="scDocCategory_0" ma:taxonomyFieldName="scDocCategory" ma:displayName="Doc Category" ma:readOnly="false" ma:fieldId="{f4ce608a-fb69-4a48-bc61-3d95fe4a7af0}" ma:taxonomyMulti="true" ma:sspId="555a8dab-5436-43e7-b81e-f40ad893af18" ma:termSetId="30920b14-bcc4-4a82-a23f-253c687c90c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ma:displayName="Program" ma:description="Listing of division units." ma:list="{105bd9b9-9305-4025-9c2f-d796fb1e1b3c}" ma:internalName="CHR_x0020_Unit" ma:readOnly="false"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scGroupBy" ma:index="13" nillable="true" ma:displayName="Group By" ma:hidden="true" ma:internalName="scGroupBy" ma:readOnly="false">
      <xsd:simpleType>
        <xsd:restriction base="dms:Text"/>
      </xsd:simpleType>
    </xsd:element>
    <xsd:element name="k4dc48185f36485f8709a09a01d58e29" ma:index="16" nillable="true" ma:taxonomy="true" ma:internalName="k4dc48185f36485f8709a09a01d58e29" ma:taxonomyFieldName="calhrBenefitsPrograms" ma:displayName="Benefits Programs" ma:default="" ma:fieldId="{44dc4818-5f36-485f-8709-a09a01d58e29}" ma:sspId="555a8dab-5436-43e7-b81e-f40ad893af18" ma:termSetId="fa051ad4-133f-419e-ae01-328573122b9f" ma:anchorId="f2b898c8-0eb8-4448-993b-6987a559a9b6" ma:open="false" ma:isKeyword="false">
      <xsd:complexType>
        <xsd:sequence>
          <xsd:element ref="pc:Terms" minOccurs="0" maxOccurs="1"/>
        </xsd:sequence>
      </xsd:complexType>
    </xsd:element>
    <xsd:element name="TaxCatchAll" ma:index="17" nillable="true" ma:displayName="Taxonomy Catch All Column" ma:hidden="true" ma:list="{d5b214c0-338b-49e7-a1ea-5f15c20d794b}" ma:internalName="TaxCatchAll" ma:showField="CatchAllData" ma:web="d09d1775-0ef4-463c-b37e-63d33e6c9716">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d5b214c0-338b-49e7-a1ea-5f15c20d794b}" ma:internalName="TaxCatchAllLabel" ma:readOnly="true" ma:showField="CatchAllDataLabel" ma:web="d09d1775-0ef4-463c-b37e-63d33e6c971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0035_08_x0020_Accessible" ma:index="23" nillable="true" ma:displayName="Is Accessible" ma:default="FALSE" ma:format="Dropdown" ma:internalName="_x0035_08_x0020_Accessible">
      <xsd:simpleType>
        <xsd:restriction base="dms:Choice">
          <xsd:enumeration value="TRUE"/>
          <xsd:enumeration value="FALSE"/>
        </xsd:restriction>
      </xsd:simpleType>
    </xsd:element>
    <xsd:element name="RemediatedBy" ma:index="24" nillable="true" ma:displayName="RemediatedBy" ma:internalName="RemediatedB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db9c2-3652-4bd5-b330-1eb3d8127efd" elementFormDefault="qualified">
    <xsd:import namespace="http://schemas.microsoft.com/office/2006/documentManagement/types"/>
    <xsd:import namespace="http://schemas.microsoft.com/office/infopath/2007/PartnerControls"/>
    <xsd:element name="scRollupDescription" ma:index="12" nillable="true" ma:displayName="Rollup Description" ma:hidden="true" ma:internalName="scRollupDescription" ma:readOnly="false">
      <xsd:simpleType>
        <xsd:restriction base="dms:Note"/>
      </xsd:simpleType>
    </xsd:element>
    <xsd:element name="c700ff25e99e4baaab6915db9322d896" ma:index="21" nillable="true" ma:taxonomy="true" ma:internalName="c700ff25e99e4baaab6915db9322d896" ma:taxonomyFieldName="scEntity" ma:displayName="Entity" ma:readOnly="false" ma:default="" ma:fieldId="{c700ff25-e99e-4baa-ab69-15db9322d896}" ma:sspId="555a8dab-5436-43e7-b81e-f40ad893af18" ma:termSetId="54030df3-d632-4872-bbb7-45359acf3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4dc48185f36485f8709a09a01d58e29 xmlns="d09d1775-0ef4-463c-b37e-63d33e6c9716">
      <Terms xmlns="http://schemas.microsoft.com/office/infopath/2007/PartnerControls">
        <TermInfo xmlns="http://schemas.microsoft.com/office/infopath/2007/PartnerControls">
          <TermName xmlns="http://schemas.microsoft.com/office/infopath/2007/PartnerControls">FlexElect</TermName>
          <TermId xmlns="http://schemas.microsoft.com/office/infopath/2007/PartnerControls">6ef677eb-025e-4282-a295-045509648966</TermId>
        </TermInfo>
      </Terms>
    </k4dc48185f36485f8709a09a01d58e29>
    <CHR_x0020_Unit xmlns="d09d1775-0ef4-463c-b37e-63d33e6c9716">51</CHR_x0020_Unit>
    <KpiDescription xmlns="http://schemas.microsoft.com/sharepoint/v3">National Emergency Relief and Guidelines Memo Template for Employees</KpiDescription>
    <c700ff25e99e4baaab6915db9322d896 xmlns="76bdb9c2-3652-4bd5-b330-1eb3d8127efd">
      <Terms xmlns="http://schemas.microsoft.com/office/infopath/2007/PartnerControls"/>
    </c700ff25e99e4baaab6915db9322d896>
    <scGroupBy xmlns="d09d1775-0ef4-463c-b37e-63d33e6c9716" xsi:nil="true"/>
    <TaxCatchAll xmlns="d09d1775-0ef4-463c-b37e-63d33e6c9716">
      <Value>39</Value>
    </TaxCatchAll>
    <scDocCategory_0 xmlns="http://schemas.microsoft.com/sharepoint/v3/fields">
      <Terms xmlns="http://schemas.microsoft.com/office/infopath/2007/PartnerControls"/>
    </scDocCategory_0>
    <scRollupDescription xmlns="76bdb9c2-3652-4bd5-b330-1eb3d8127efd" xsi:nil="true"/>
    <_x0035_08_x0020_Accessible xmlns="d09d1775-0ef4-463c-b37e-63d33e6c9716">FALSE</_x0035_08_x0020_Accessible>
    <RemediatedBy xmlns="d09d1775-0ef4-463c-b37e-63d33e6c9716" xsi:nil="true"/>
  </documentManagement>
</p:properties>
</file>

<file path=customXml/itemProps1.xml><?xml version="1.0" encoding="utf-8"?>
<ds:datastoreItem xmlns:ds="http://schemas.openxmlformats.org/officeDocument/2006/customXml" ds:itemID="{D4D3A874-8D3B-4D3E-ACB5-7FAB987EBEE6}"/>
</file>

<file path=customXml/itemProps2.xml><?xml version="1.0" encoding="utf-8"?>
<ds:datastoreItem xmlns:ds="http://schemas.openxmlformats.org/officeDocument/2006/customXml" ds:itemID="{F969EEEC-D130-4F4D-8849-4916DFB37B6A}"/>
</file>

<file path=customXml/itemProps3.xml><?xml version="1.0" encoding="utf-8"?>
<ds:datastoreItem xmlns:ds="http://schemas.openxmlformats.org/officeDocument/2006/customXml" ds:itemID="{8FF59DDF-5699-45A6-934C-E8A2B1487641}"/>
</file>

<file path=docProps/app.xml><?xml version="1.0" encoding="utf-8"?>
<Properties xmlns="http://schemas.openxmlformats.org/officeDocument/2006/extended-properties" xmlns:vt="http://schemas.openxmlformats.org/officeDocument/2006/docPropsVTypes">
  <Template>Normal.dotm</Template>
  <TotalTime>7</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California Department of Human Resources</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Emergency Relief and Guidelines Memo Template for Employees</dc:title>
  <dc:subject/>
  <dc:creator>Galloway, Chiara</dc:creator>
  <cp:keywords>National Emergency Relief and Guidelines Memo Template for Employees</cp:keywords>
  <dc:description/>
  <cp:lastModifiedBy>Galloway, Chiara</cp:lastModifiedBy>
  <cp:revision>3</cp:revision>
  <dcterms:created xsi:type="dcterms:W3CDTF">2020-07-23T22:00:00Z</dcterms:created>
  <dcterms:modified xsi:type="dcterms:W3CDTF">2020-07-23T22:07:00Z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0x01010003207965D936FC419890337BDD8E025F00AF49F5B4680CAF429EA8CFBE28809B780100A5495FF6A55477409885D1442F02EF7B</vt:lpwstr>
  </property>
  <property fmtid="{D5CDD505-2E9C-101B-9397-08002B2CF9AE}" pid="3" name="calhrBenefitsPrograms">
    <vt:lpwstr>39;#FlexElect|6ef677eb-025e-4282-a295-045509648966</vt:lpwstr>
  </property>
  <property fmtid="{D5CDD505-2E9C-101B-9397-08002B2CF9AE}" pid="4" name="scDocCategory">
    <vt:lpwstr/>
  </property>
  <property fmtid="{D5CDD505-2E9C-101B-9397-08002B2CF9AE}" pid="5" name="scEntity">
    <vt:lpwstr/>
  </property>
</Properties>
</file>